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B" w:rsidRDefault="0008220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2003 года N 16-ЗРТ</w:t>
      </w:r>
      <w:r>
        <w:rPr>
          <w:rFonts w:ascii="Calibri" w:hAnsi="Calibri" w:cs="Calibri"/>
        </w:rPr>
        <w:br/>
      </w:r>
    </w:p>
    <w:p w:rsidR="0008220B" w:rsidRDefault="000822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</w:t>
      </w: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ТАТАРСТАН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2003 года</w:t>
      </w: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24.07.2014 N 75-ЗРТ)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Право граждан на обращение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rPr>
          <w:rFonts w:ascii="Calibri" w:hAnsi="Calibri" w:cs="Calibri"/>
        </w:rPr>
        <w:t xml:space="preserve"> и должностные лица).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Статья 2. Основные понятия, используемые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Законе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основные понятия, применяемые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Законе, используются в тех значениях, в каких они определены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</w:t>
      </w:r>
      <w:r>
        <w:rPr>
          <w:rFonts w:ascii="Calibri" w:hAnsi="Calibri" w:cs="Calibri"/>
        </w:rPr>
        <w:lastRenderedPageBreak/>
        <w:t>Российской Федерации".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4" w:name="Par37"/>
      <w:bookmarkEnd w:id="4"/>
      <w:r>
        <w:rPr>
          <w:rFonts w:ascii="Calibri" w:hAnsi="Calibri" w:cs="Calibri"/>
          <w:b/>
          <w:bCs/>
        </w:rPr>
        <w:t>ГЛАВА 2. РАССМОТРЕНИЕ ОБРАЩЕНИЙ ГРАЖДАН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Статья 4. Обращение гражданина, изложенное в письменной форме, в форме электронного документа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если в письменном обращении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rPr>
          <w:rFonts w:ascii="Calibri" w:hAnsi="Calibri" w:cs="Calibri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 xml:space="preserve">4.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Calibri" w:hAnsi="Calibri" w:cs="Calibri"/>
        </w:rPr>
        <w:t>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Наряду с установленным настоящей статьей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</w:t>
      </w:r>
      <w:proofErr w:type="gramEnd"/>
      <w:r>
        <w:rPr>
          <w:rFonts w:ascii="Calibri" w:hAnsi="Calibri" w:cs="Calibri"/>
        </w:rP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Статья 5. Обязательность принятия обращения к рассмотрению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Обращение, поступившее в орган или должностному лицу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их компетенцией, подлежит обязательному рассмотрению.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Статья 6. Рассмотрение обращения гражданина, адресованное должностному лицу, </w:t>
      </w:r>
      <w:r>
        <w:rPr>
          <w:rFonts w:ascii="Calibri" w:hAnsi="Calibri" w:cs="Calibri"/>
        </w:rPr>
        <w:lastRenderedPageBreak/>
        <w:t>полномочия которого прекращены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9" w:name="Par57"/>
      <w:bookmarkEnd w:id="9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вопросов.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44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или должностное лицо при </w:t>
      </w: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в соответствии с запретом, предусмотренным </w:t>
      </w:r>
      <w:hyperlink w:anchor="Par6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Статья 8. Сроки рассмотрения обращений граждан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69"/>
      <w:bookmarkEnd w:id="12"/>
      <w:r>
        <w:rPr>
          <w:rFonts w:ascii="Calibri" w:hAnsi="Calibri" w:cs="Calibri"/>
        </w:rPr>
        <w:t xml:space="preserve">1. Все виды обращений - индивидуальные и коллективные, поступившие в орган или должностному лицу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их компетенцией, рассматриваются в течение 30 дней со дня регистрации письменного обращения.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70"/>
      <w:bookmarkEnd w:id="13"/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</w:t>
      </w:r>
      <w:hyperlink w:anchor="Par80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ar6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4" w:name="Par73"/>
      <w:bookmarkEnd w:id="14"/>
      <w:r>
        <w:rPr>
          <w:rFonts w:ascii="Calibri" w:hAnsi="Calibri" w:cs="Calibri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>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5" w:name="Par78"/>
      <w:bookmarkEnd w:id="15"/>
      <w:r>
        <w:rPr>
          <w:rFonts w:ascii="Calibri" w:hAnsi="Calibri" w:cs="Calibri"/>
        </w:rPr>
        <w:t>Статья 10. Обязанность представления письменных доказательств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80"/>
      <w:bookmarkEnd w:id="16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лица, виновные в умышленном </w:t>
      </w:r>
      <w:proofErr w:type="gramStart"/>
      <w:r>
        <w:rPr>
          <w:rFonts w:ascii="Calibri" w:hAnsi="Calibri" w:cs="Calibri"/>
        </w:rPr>
        <w:t>непредставлении</w:t>
      </w:r>
      <w:proofErr w:type="gramEnd"/>
      <w:r>
        <w:rPr>
          <w:rFonts w:ascii="Calibri" w:hAnsi="Calibri" w:cs="Calibri"/>
        </w:rPr>
        <w:t xml:space="preserve"> истребуемых доказательств, несут ответственность в соответствии с законодательством.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7" w:name="Par83"/>
      <w:bookmarkEnd w:id="17"/>
      <w:r>
        <w:rPr>
          <w:rFonts w:ascii="Calibri" w:hAnsi="Calibri" w:cs="Calibri"/>
        </w:rPr>
        <w:t>Статья 11. Организация личного приема граждан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Личный прием граждан в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 xml:space="preserve"> проводится их руководителями и уполномоченными на то лицами.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Прием должен проводиться в установленные дни и часы, в удобное для граждан время, в необходимых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Интернет. Указанная информация также размещается в общедоступных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в зданиях органов.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 и отчество обратившегося;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адрес его места жительства;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 должностного лица, ведущего прием;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необходимые сведения.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личном приеме гражданин предъявляет документ, удостоверяющий личность.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 и настоящим Законом.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98"/>
      <w:bookmarkEnd w:id="18"/>
      <w:r>
        <w:rPr>
          <w:rFonts w:ascii="Calibri" w:hAnsi="Calibri" w:cs="Calibri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дети-инвалиды, дети-сироты, дети, оставшиеся без попечения родителей, лица из числа </w:t>
      </w:r>
      <w:r>
        <w:rPr>
          <w:rFonts w:ascii="Calibri" w:hAnsi="Calibri" w:cs="Calibri"/>
        </w:rPr>
        <w:lastRenderedPageBreak/>
        <w:t>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101"/>
      <w:bookmarkEnd w:id="19"/>
      <w:r>
        <w:rPr>
          <w:rFonts w:ascii="Calibri" w:hAnsi="Calibri" w:cs="Calibri"/>
        </w:rPr>
        <w:t xml:space="preserve">4) граждане, пришедшие на прием с детьми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личном приеме граждане,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01" w:history="1">
        <w:r>
          <w:rPr>
            <w:rFonts w:ascii="Calibri" w:hAnsi="Calibri" w:cs="Calibri"/>
            <w:color w:val="0000FF"/>
          </w:rPr>
          <w:t>4 части 9</w:t>
        </w:r>
      </w:hyperlink>
      <w:r>
        <w:rPr>
          <w:rFonts w:ascii="Calibri" w:hAnsi="Calibri" w:cs="Calibri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0" w:name="Par106"/>
      <w:bookmarkEnd w:id="20"/>
      <w:r>
        <w:rPr>
          <w:rFonts w:ascii="Calibri" w:hAnsi="Calibri" w:cs="Calibri"/>
        </w:rPr>
        <w:t>Статья 12. Право на обжалование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rPr>
          <w:rFonts w:ascii="Calibri" w:hAnsi="Calibri" w:cs="Calibri"/>
        </w:rPr>
        <w:t>подчинены</w:t>
      </w:r>
      <w:proofErr w:type="gramEnd"/>
      <w:r>
        <w:rPr>
          <w:rFonts w:ascii="Calibri" w:hAnsi="Calibri" w:cs="Calibri"/>
        </w:rPr>
        <w:t xml:space="preserve"> орган или должностное лицо, принявшие обжалуемое решение, или в суд.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1" w:name="Par110"/>
      <w:bookmarkEnd w:id="21"/>
      <w:r>
        <w:rPr>
          <w:rFonts w:ascii="Calibri" w:hAnsi="Calibri" w:cs="Calibri"/>
        </w:rPr>
        <w:t>Статья 13. Предложения, направленные на совершенствование законодательства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2" w:name="Par115"/>
      <w:bookmarkEnd w:id="22"/>
      <w:r>
        <w:rPr>
          <w:rFonts w:ascii="Calibri" w:hAnsi="Calibri" w:cs="Calibri"/>
        </w:rPr>
        <w:t>Статья 14. Обязанности органа и должностного лица по рассмотрению заявления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rPr>
          <w:rFonts w:ascii="Calibri" w:hAnsi="Calibri" w:cs="Calibri"/>
        </w:rPr>
        <w:t>обязаны</w:t>
      </w:r>
      <w:proofErr w:type="gramEnd"/>
      <w:r>
        <w:rPr>
          <w:rFonts w:ascii="Calibri" w:hAnsi="Calibri" w:cs="Calibri"/>
        </w:rPr>
        <w:t>: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рассмотреть заявление по существу в сроки, установленные законодательством;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учитывать исполнение ранее принятых решений по заявлению гражданина;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принять обоснованное решение и обеспечить его исполнение;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3" w:name="Par124"/>
      <w:bookmarkEnd w:id="23"/>
      <w:r>
        <w:rPr>
          <w:rFonts w:ascii="Calibri" w:hAnsi="Calibri" w:cs="Calibri"/>
        </w:rPr>
        <w:t xml:space="preserve">Статья 15. Права гражданина при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обращения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органом или должностным лицом гражданин имеет право: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 изложить доводы лицу, рассматривающему обращение;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знакомиться с документами и материалами, касающимися рассмотрения обращения, </w:t>
      </w:r>
      <w:r>
        <w:rPr>
          <w:rFonts w:ascii="Calibri" w:hAnsi="Calibri" w:cs="Calibri"/>
        </w:rPr>
        <w:lastRenderedPageBreak/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14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обращаться с заявлением о прекращении рассмотрения обращения;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обжаловать решение, принятое по обращению;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пользоваться услугами представителя;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обращения, в порядке, установленном законодательством.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4" w:name="Par139"/>
      <w:bookmarkEnd w:id="24"/>
      <w:r>
        <w:rPr>
          <w:rFonts w:ascii="Calibri" w:hAnsi="Calibri" w:cs="Calibri"/>
        </w:rPr>
        <w:t>Статья 16. Обязанности органа или должностного лица по рассмотрению жалобы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или должностное лицо, в компетенцию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входит рассмотрение соответствующей жалобы, обязаны: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принять и зарегистрировать жалобу;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5" w:name="Par148"/>
      <w:bookmarkEnd w:id="25"/>
      <w:r>
        <w:rPr>
          <w:rFonts w:ascii="Calibri" w:hAnsi="Calibri" w:cs="Calibri"/>
        </w:rPr>
        <w:t>Статья 17. Решение по жалобе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6" w:name="Par152"/>
      <w:bookmarkEnd w:id="26"/>
      <w:r>
        <w:rPr>
          <w:rFonts w:ascii="Calibri" w:hAnsi="Calibri" w:cs="Calibri"/>
        </w:rPr>
        <w:t>Статья 18. Последствия принятия решения по жалобе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</w:t>
      </w:r>
      <w:r>
        <w:rPr>
          <w:rFonts w:ascii="Calibri" w:hAnsi="Calibri" w:cs="Calibri"/>
        </w:rPr>
        <w:lastRenderedPageBreak/>
        <w:t>обязаны принять меры по опубликованию опровержения в порядке, установленном законодательством.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7" w:name="Par157"/>
      <w:bookmarkEnd w:id="27"/>
      <w:r>
        <w:rPr>
          <w:rFonts w:ascii="Calibri" w:hAnsi="Calibri" w:cs="Calibri"/>
        </w:rPr>
        <w:t>Статья 19. Рассмотрение обращений граждан, принятых по телефонам "прямых линий" и "горячих линий" органов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 и настоящим Законом.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proofErr w:type="gramEnd"/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Работа "прямых линий" и "горячих линий"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актами, принимаемыми органами.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8" w:name="Par165"/>
      <w:bookmarkEnd w:id="28"/>
      <w:r>
        <w:rPr>
          <w:rFonts w:ascii="Calibri" w:hAnsi="Calibri" w:cs="Calibri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Письменный ответ на коллективное обращение граждан направляется лицу, указанному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в качестве получателя ответа или представителя коллектива граждан, подписавших обращение.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rPr>
          <w:rFonts w:ascii="Calibri" w:hAnsi="Calibri" w:cs="Calibri"/>
        </w:rPr>
        <w:t>обратившихся</w:t>
      </w:r>
      <w:proofErr w:type="gramEnd"/>
      <w:r>
        <w:rPr>
          <w:rFonts w:ascii="Calibri" w:hAnsi="Calibri" w:cs="Calibri"/>
        </w:rPr>
        <w:t xml:space="preserve"> (подписавшихся), указавшему свой адрес места жительства.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9" w:name="Par171"/>
      <w:bookmarkEnd w:id="29"/>
      <w:r>
        <w:rPr>
          <w:rFonts w:ascii="Calibri" w:hAnsi="Calibri" w:cs="Calibri"/>
        </w:rPr>
        <w:t>Статья 21. Рассмотрение обращений граждан по фактам коррупционной направленности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работы с обращениями граждан по фактам коррупционной направленности </w:t>
      </w:r>
      <w:r>
        <w:rPr>
          <w:rFonts w:ascii="Calibri" w:hAnsi="Calibri" w:cs="Calibri"/>
        </w:rPr>
        <w:lastRenderedPageBreak/>
        <w:t>устанавливается нормативными правовыми актами органов.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0" w:name="Par179"/>
      <w:bookmarkEnd w:id="30"/>
      <w:r>
        <w:rPr>
          <w:rFonts w:ascii="Calibri" w:hAnsi="Calibri" w:cs="Calibri"/>
        </w:rPr>
        <w:t>Статья 22. Ответственность за нарушение настоящего Закона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</w:t>
      </w:r>
      <w:proofErr w:type="gramStart"/>
      <w:r>
        <w:rPr>
          <w:rFonts w:ascii="Calibri" w:hAnsi="Calibri" w:cs="Calibri"/>
        </w:rPr>
        <w:t>нарушении</w:t>
      </w:r>
      <w:proofErr w:type="gramEnd"/>
      <w:r>
        <w:rPr>
          <w:rFonts w:ascii="Calibri" w:hAnsi="Calibri" w:cs="Calibri"/>
        </w:rPr>
        <w:t xml:space="preserve"> настоящего Закона, несут ответственность, предусмотренную законодательством.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31" w:name="Par183"/>
      <w:bookmarkEnd w:id="31"/>
      <w:r>
        <w:rPr>
          <w:rFonts w:ascii="Calibri" w:hAnsi="Calibri" w:cs="Calibri"/>
          <w:b/>
          <w:bCs/>
        </w:rPr>
        <w:t>ГЛАВА 3. ЗАКЛЮЧИТЕЛЬНЫЕ ПОЛОЖЕНИЯ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2" w:name="Par185"/>
      <w:bookmarkEnd w:id="32"/>
      <w:r>
        <w:rPr>
          <w:rFonts w:ascii="Calibri" w:hAnsi="Calibri" w:cs="Calibri"/>
        </w:rPr>
        <w:t xml:space="preserve">Статья 23.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Закона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rPr>
          <w:rFonts w:ascii="Calibri" w:hAnsi="Calibri" w:cs="Calibri"/>
        </w:rPr>
        <w:t xml:space="preserve"> нарушений.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rPr>
          <w:rFonts w:ascii="Calibri" w:hAnsi="Calibri" w:cs="Calibri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rPr>
          <w:rFonts w:ascii="Calibri" w:hAnsi="Calibri" w:cs="Calibri"/>
        </w:rPr>
        <w:t xml:space="preserve"> правовых и иных актах (при наличии).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08220B" w:rsidRDefault="000822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Анализ поступивших обращений граждан размещается органами на своих официальных сайтах в информационно-телекоммуникационной сети Интернет.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8220B" w:rsidRDefault="000822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 мая 2003 года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16-ЗРТ</w:t>
      </w: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220B" w:rsidRDefault="000822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220B" w:rsidRDefault="000822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B0A07" w:rsidRDefault="009B0A07"/>
    <w:sectPr w:rsidR="009B0A07" w:rsidSect="00A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220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220B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254A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C204827DC58D9D3E32DC089B014C07AAA7C6FEF75D594344A2C2A3ZFbAF" TargetMode="External"/><Relationship Id="rId13" Type="http://schemas.openxmlformats.org/officeDocument/2006/relationships/hyperlink" Target="consultantplus://offline/ref=497EC204827DC58D9D3E2CD11EF75C430EA5F1CEFBF6540F1F1BF99FF4F310E7Z3b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EC204827DC58D9D3E2CD11EF75C430EA5F1CEFBF6540F1F1BF99FF4F310E7Z3bAF" TargetMode="External"/><Relationship Id="rId12" Type="http://schemas.openxmlformats.org/officeDocument/2006/relationships/hyperlink" Target="consultantplus://offline/ref=497EC204827DC58D9D3E32DC089B014C07AAA7C6FEF75D594344A2C2A3ZFbAF" TargetMode="External"/><Relationship Id="rId17" Type="http://schemas.openxmlformats.org/officeDocument/2006/relationships/hyperlink" Target="consultantplus://offline/ref=497EC204827DC58D9D3E2CD11EF75C430EA5F1CEFAF4530E1F1BF99FF4F310E7Z3b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EC204827DC58D9D3E32DC089B014C07ABA9CAFFFA5D594344A2C2A3ZFb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EC204827DC58D9D3E32DC089B014C04A6A8C6F6A50A5B1211ACZCb7F" TargetMode="External"/><Relationship Id="rId11" Type="http://schemas.openxmlformats.org/officeDocument/2006/relationships/hyperlink" Target="consultantplus://offline/ref=497EC204827DC58D9D3E32DC089B014C07AAA7C6FEF75D594344A2C2A3ZFbAF" TargetMode="External"/><Relationship Id="rId5" Type="http://schemas.openxmlformats.org/officeDocument/2006/relationships/hyperlink" Target="consultantplus://offline/ref=497EC204827DC58D9D3E32DC089B014C07AAA7C6FEF75D594344A2C2A3ZFbAF" TargetMode="External"/><Relationship Id="rId15" Type="http://schemas.openxmlformats.org/officeDocument/2006/relationships/hyperlink" Target="consultantplus://offline/ref=497EC204827DC58D9D3E32DC089B014C07AAA7C6FEF75D594344A2C2A3ZFbAF" TargetMode="External"/><Relationship Id="rId10" Type="http://schemas.openxmlformats.org/officeDocument/2006/relationships/hyperlink" Target="consultantplus://offline/ref=497EC204827DC58D9D3E32DC089B014C07AAA7C6FEF75D594344A2C2A3ZFbA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7EC204827DC58D9D3E2CD11EF75C430EA5F1CEFAFB56081C1BF99FF4F310E73A8CAF0B067B4D8E7CCC92Z7b6F" TargetMode="External"/><Relationship Id="rId9" Type="http://schemas.openxmlformats.org/officeDocument/2006/relationships/hyperlink" Target="consultantplus://offline/ref=497EC204827DC58D9D3E32DC089B014C07AAA7C6FEF75D594344A2C2A3ZFbAF" TargetMode="External"/><Relationship Id="rId14" Type="http://schemas.openxmlformats.org/officeDocument/2006/relationships/hyperlink" Target="consultantplus://offline/ref=497EC204827DC58D9D3E32DC089B014C07AAA7C6FEF75D594344A2C2A3FA1AB07DC3F64942764C88Z7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3864</Words>
  <Characters>22028</Characters>
  <Application>Microsoft Office Word</Application>
  <DocSecurity>0</DocSecurity>
  <Lines>183</Lines>
  <Paragraphs>51</Paragraphs>
  <ScaleCrop>false</ScaleCrop>
  <Company/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2014-10-27T05:27:00Z</dcterms:created>
  <dcterms:modified xsi:type="dcterms:W3CDTF">2014-10-27T05:28:00Z</dcterms:modified>
</cp:coreProperties>
</file>